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B5E26" w14:textId="4904E13A" w:rsidR="00076AB5" w:rsidRPr="00076AB5" w:rsidRDefault="00076AB5" w:rsidP="00076AB5">
      <w:pPr>
        <w:pBdr>
          <w:top w:val="single" w:sz="6" w:space="12" w:color="669966"/>
          <w:left w:val="single" w:sz="6" w:space="24" w:color="669966"/>
          <w:bottom w:val="single" w:sz="6" w:space="12" w:color="669966"/>
          <w:right w:val="single" w:sz="6" w:space="12" w:color="669966"/>
        </w:pBdr>
        <w:shd w:val="clear" w:color="auto" w:fill="FAFAFA"/>
        <w:spacing w:before="100" w:beforeAutospacing="1"/>
        <w:outlineLvl w:val="1"/>
        <w:rPr>
          <w:rFonts w:eastAsia="Times New Roman"/>
          <w:bCs/>
          <w:color w:val="000000" w:themeColor="text1"/>
          <w:sz w:val="34"/>
          <w:szCs w:val="3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AB5">
        <w:rPr>
          <w:rFonts w:eastAsia="Times New Roman"/>
          <w:bCs/>
          <w:color w:val="000000" w:themeColor="text1"/>
          <w:sz w:val="34"/>
          <w:szCs w:val="3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LEVERAGE, CAPITAL STRUCTURE, AND DIVIDEND POLICY</w:t>
      </w:r>
    </w:p>
    <w:p w14:paraId="42E7806A" w14:textId="77777777" w:rsidR="00076AB5" w:rsidRPr="00076AB5" w:rsidRDefault="00076AB5" w:rsidP="00076AB5">
      <w:pPr>
        <w:shd w:val="clear" w:color="auto" w:fill="C4D5DD"/>
        <w:spacing w:line="312" w:lineRule="atLeast"/>
        <w:outlineLvl w:val="2"/>
        <w:rPr>
          <w:rFonts w:eastAsia="Times New Roman"/>
          <w:b/>
          <w:bCs/>
          <w:color w:val="005697"/>
          <w:sz w:val="29"/>
          <w:szCs w:val="29"/>
        </w:rPr>
      </w:pPr>
      <w:r w:rsidRPr="00076AB5">
        <w:rPr>
          <w:rFonts w:eastAsia="Times New Roman"/>
          <w:b/>
          <w:bCs/>
          <w:color w:val="005697"/>
          <w:sz w:val="29"/>
          <w:szCs w:val="29"/>
          <w:highlight w:val="yellow"/>
        </w:rPr>
        <w:t>Required Reading</w:t>
      </w:r>
    </w:p>
    <w:p w14:paraId="46364D95" w14:textId="77777777" w:rsidR="00076AB5" w:rsidRPr="00076AB5" w:rsidRDefault="00076AB5" w:rsidP="00076AB5">
      <w:pPr>
        <w:shd w:val="clear" w:color="auto" w:fill="FAFAFA"/>
        <w:spacing w:before="100" w:beforeAutospacing="1" w:after="100" w:afterAutospacing="1" w:line="312" w:lineRule="atLeast"/>
        <w:ind w:left="1050" w:right="1050"/>
        <w:rPr>
          <w:rFonts w:eastAsia="Times New Roman"/>
          <w:color w:val="363636"/>
          <w:sz w:val="27"/>
          <w:szCs w:val="27"/>
        </w:rPr>
      </w:pPr>
      <w:r w:rsidRPr="00076AB5">
        <w:rPr>
          <w:rFonts w:eastAsia="Times New Roman"/>
          <w:color w:val="363636"/>
          <w:sz w:val="27"/>
          <w:szCs w:val="27"/>
        </w:rPr>
        <w:t>Please read through the following book chapters. Pay special attention to the concepts of operating leverage, financial leverage, business vs. financial risks, and the major theories of capital structure choices.</w:t>
      </w:r>
    </w:p>
    <w:p w14:paraId="2C4B1643" w14:textId="77777777" w:rsidR="00076AB5" w:rsidRPr="00076AB5" w:rsidRDefault="00076AB5" w:rsidP="00076AB5">
      <w:pPr>
        <w:shd w:val="clear" w:color="auto" w:fill="FAFAFA"/>
        <w:spacing w:before="100" w:beforeAutospacing="1" w:after="100" w:afterAutospacing="1" w:line="312" w:lineRule="atLeast"/>
        <w:ind w:left="1050" w:right="1050"/>
        <w:rPr>
          <w:rFonts w:eastAsia="Times New Roman"/>
          <w:color w:val="363636"/>
          <w:sz w:val="27"/>
          <w:szCs w:val="27"/>
        </w:rPr>
      </w:pPr>
      <w:r w:rsidRPr="00076AB5">
        <w:rPr>
          <w:rFonts w:eastAsia="Times New Roman"/>
          <w:color w:val="363636"/>
          <w:sz w:val="27"/>
          <w:szCs w:val="27"/>
        </w:rPr>
        <w:t>Vishwanath, S. (2007). Chapter 19: Optimal capital structure. Corporate finance: Theory and practice. SAGE Publications India. Available in the Trident Online Library.</w:t>
      </w:r>
    </w:p>
    <w:p w14:paraId="57A1C69B" w14:textId="77777777" w:rsidR="00076AB5" w:rsidRPr="00076AB5" w:rsidRDefault="00076AB5" w:rsidP="00076AB5">
      <w:pPr>
        <w:shd w:val="clear" w:color="auto" w:fill="FAFAFA"/>
        <w:spacing w:before="100" w:beforeAutospacing="1" w:after="100" w:afterAutospacing="1" w:line="312" w:lineRule="atLeast"/>
        <w:ind w:left="1050" w:right="1050"/>
        <w:rPr>
          <w:rFonts w:eastAsia="Times New Roman"/>
          <w:color w:val="363636"/>
          <w:sz w:val="27"/>
          <w:szCs w:val="27"/>
        </w:rPr>
      </w:pPr>
      <w:r w:rsidRPr="00076AB5">
        <w:rPr>
          <w:rFonts w:eastAsia="Times New Roman"/>
          <w:color w:val="363636"/>
          <w:sz w:val="27"/>
          <w:szCs w:val="27"/>
        </w:rPr>
        <w:t xml:space="preserve">Finally, </w:t>
      </w:r>
      <w:proofErr w:type="gramStart"/>
      <w:r w:rsidRPr="00076AB5">
        <w:rPr>
          <w:rFonts w:eastAsia="Times New Roman"/>
          <w:color w:val="363636"/>
          <w:sz w:val="27"/>
          <w:szCs w:val="27"/>
        </w:rPr>
        <w:t>take a look</w:t>
      </w:r>
      <w:proofErr w:type="gramEnd"/>
      <w:r w:rsidRPr="00076AB5">
        <w:rPr>
          <w:rFonts w:eastAsia="Times New Roman"/>
          <w:color w:val="363636"/>
          <w:sz w:val="27"/>
          <w:szCs w:val="27"/>
        </w:rPr>
        <w:t xml:space="preserve"> at the following book chapter on dividend policy. Take a close look at the concepts of regular dividend policy and low-regular-and-extra dividend policy, as well as stock splits and stock </w:t>
      </w:r>
      <w:proofErr w:type="gramStart"/>
      <w:r w:rsidRPr="00076AB5">
        <w:rPr>
          <w:rFonts w:eastAsia="Times New Roman"/>
          <w:color w:val="363636"/>
          <w:sz w:val="27"/>
          <w:szCs w:val="27"/>
        </w:rPr>
        <w:t>repurchases</w:t>
      </w:r>
      <w:proofErr w:type="gramEnd"/>
      <w:r w:rsidRPr="00076AB5">
        <w:rPr>
          <w:rFonts w:eastAsia="Times New Roman"/>
          <w:color w:val="363636"/>
          <w:sz w:val="27"/>
          <w:szCs w:val="27"/>
        </w:rPr>
        <w:t>:</w:t>
      </w:r>
    </w:p>
    <w:p w14:paraId="744CFFF9" w14:textId="77777777" w:rsidR="00076AB5" w:rsidRPr="00076AB5" w:rsidRDefault="00076AB5" w:rsidP="00076AB5">
      <w:pPr>
        <w:shd w:val="clear" w:color="auto" w:fill="FAFAFA"/>
        <w:spacing w:before="100" w:beforeAutospacing="1" w:after="100" w:afterAutospacing="1" w:line="312" w:lineRule="atLeast"/>
        <w:ind w:left="1050" w:right="1050"/>
        <w:rPr>
          <w:rFonts w:eastAsia="Times New Roman"/>
          <w:color w:val="363636"/>
          <w:sz w:val="27"/>
          <w:szCs w:val="27"/>
        </w:rPr>
      </w:pPr>
      <w:r w:rsidRPr="00076AB5">
        <w:rPr>
          <w:rFonts w:eastAsia="Times New Roman"/>
          <w:color w:val="363636"/>
          <w:sz w:val="27"/>
          <w:szCs w:val="27"/>
        </w:rPr>
        <w:t>Clive, M. (2012). Chapter 15: Dividend policy. </w:t>
      </w:r>
      <w:r w:rsidRPr="00076AB5">
        <w:rPr>
          <w:rFonts w:eastAsia="Times New Roman"/>
          <w:i/>
          <w:iCs/>
          <w:color w:val="363636"/>
          <w:sz w:val="27"/>
          <w:szCs w:val="27"/>
        </w:rPr>
        <w:t>Financial management for non-financial managers.</w:t>
      </w:r>
      <w:r w:rsidRPr="00076AB5">
        <w:rPr>
          <w:rFonts w:eastAsia="Times New Roman"/>
          <w:color w:val="363636"/>
          <w:sz w:val="27"/>
          <w:szCs w:val="27"/>
        </w:rPr>
        <w:t> Kogan Page. Available in the Trident Online Library.</w:t>
      </w:r>
    </w:p>
    <w:p w14:paraId="7C7A302E" w14:textId="3E984E5C" w:rsidR="004005C0" w:rsidRDefault="004005C0"/>
    <w:sectPr w:rsidR="004005C0" w:rsidSect="00346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B5"/>
    <w:rsid w:val="00076AB5"/>
    <w:rsid w:val="00346A35"/>
    <w:rsid w:val="0040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F7CE50"/>
  <w14:defaultImageDpi w14:val="32767"/>
  <w15:chartTrackingRefBased/>
  <w15:docId w15:val="{4F5F110C-55A6-7548-B324-98D94598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36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76AB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</w:rPr>
  </w:style>
  <w:style w:type="paragraph" w:styleId="Heading3">
    <w:name w:val="heading 3"/>
    <w:basedOn w:val="Normal"/>
    <w:link w:val="Heading3Char"/>
    <w:uiPriority w:val="9"/>
    <w:qFormat/>
    <w:rsid w:val="00076A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76AB5"/>
    <w:rPr>
      <w:rFonts w:ascii="Times New Roman" w:eastAsia="Times New Roman" w:hAnsi="Times New Roman" w:cs="Times New Roman"/>
      <w:b/>
      <w:bCs/>
      <w:sz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76AB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76AB5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076A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donica jordan-andrade</dc:creator>
  <cp:keywords/>
  <dc:description/>
  <cp:lastModifiedBy>donica jordan-andrade</cp:lastModifiedBy>
  <cp:revision>1</cp:revision>
  <dcterms:created xsi:type="dcterms:W3CDTF">2021-01-12T05:49:00Z</dcterms:created>
  <dcterms:modified xsi:type="dcterms:W3CDTF">2021-01-12T05:50:00Z</dcterms:modified>
</cp:coreProperties>
</file>